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8" w:name="Xeee4affc1d69f80e7c6520507e049fbe991e266"/>
    <w:p>
      <w:pPr>
        <w:pStyle w:val="Heading2"/>
      </w:pPr>
      <w:r>
        <w:t xml:space="preserve">Parecer Jurídico Interno – Caducidade Contratual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  <w:r>
        <w:br/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Empresa de Arrendamento Comercial, Lda., NIF 504 321 987, sede em Rua da Boavista, 45, 1050‑067 Lisboa</w:t>
      </w:r>
      <w:r>
        <w:br/>
      </w:r>
      <w:r>
        <w:rPr>
          <w:b/>
          <w:bCs/>
        </w:rPr>
        <w:t xml:space="preserve">Réu/Requerido:</w:t>
      </w:r>
      <w:r>
        <w:t xml:space="preserve"> </w:t>
      </w:r>
      <w:r>
        <w:t xml:space="preserve">Sr. João da Silva, NIF 213 456 789, residente em Avenida da República, 112, 4000‑123 Porto</w:t>
      </w:r>
      <w:r>
        <w:br/>
      </w:r>
      <w:r>
        <w:rPr>
          <w:b/>
          <w:bCs/>
        </w:rPr>
        <w:t xml:space="preserve">Mandatários:</w:t>
      </w:r>
      <w:r>
        <w:t xml:space="preserve"> </w:t>
      </w:r>
      <w:r>
        <w:t xml:space="preserve">Dr.ª Ana Martins (OA 12345) e Dr. Luís Pereira (OA 67890)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Juiz de Direito da Vara Cível de Lisboa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r>
        <w:pict>
          <v:rect style="width:0;height:1.5pt" o:hralign="center" o:hrstd="t" o:hr="t"/>
        </w:pict>
      </w:r>
    </w:p>
    <w:bookmarkStart w:id="9" w:name="i.-factos-relevantes"/>
    <w:p>
      <w:pPr>
        <w:pStyle w:val="Heading3"/>
      </w:pPr>
      <w:r>
        <w:t xml:space="preserve">I. Factos Relevantes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80"/>
        <w:gridCol w:w="48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Facto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Contrato de arrendamento</w:t>
            </w:r>
          </w:p>
        </w:tc>
        <w:tc>
          <w:tcPr/>
          <w:p>
            <w:pPr>
              <w:pStyle w:val="Compact"/>
            </w:pPr>
            <w:r>
              <w:t xml:space="preserve">Celebrado em 10 de junho de 2019, com prazo de 5 (cinco) anos, renovável por acordo de ambas as partes, para o estabelecimento comercial sito na Rua das Flores, 12, 1150‑123 Lisboa.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Renda mensal</w:t>
            </w:r>
          </w:p>
        </w:tc>
        <w:tc>
          <w:tcPr/>
          <w:p>
            <w:pPr>
              <w:pStyle w:val="Compact"/>
            </w:pPr>
            <w:r>
              <w:t xml:space="preserve">€ 3 500,00 (três mil e quinhentos euros) com pagamento até ao dia 5 de cada mês, mediante transferência bancária para o IBAN PT50 0000 0000 0000 1234 5678 9.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Incumprimento</w:t>
            </w:r>
          </w:p>
        </w:tc>
        <w:tc>
          <w:tcPr/>
          <w:p>
            <w:pPr>
              <w:pStyle w:val="Compact"/>
            </w:pPr>
            <w:r>
              <w:t xml:space="preserve">O réu deixou de pagar as rendas referentes a oito (8) meses consecutivos – de 1 de julho a 31 de fevereiro de 2025 – totalizando € 28 000,00.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Obras não autorizadas</w:t>
            </w:r>
          </w:p>
        </w:tc>
        <w:tc>
          <w:tcPr/>
          <w:p>
            <w:pPr>
              <w:pStyle w:val="Compact"/>
            </w:pPr>
            <w:r>
              <w:t xml:space="preserve">Entre 15 de setembro e 30 de novembro de 2025, o réu realizou obras de remodelação interior sem prévia autorização escrita do senhorio, gerando custos de € 12 750,00 (doze mil setecentos e cinquenta euros).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Notificações</w:t>
            </w:r>
          </w:p>
        </w:tc>
        <w:tc>
          <w:tcPr/>
          <w:p>
            <w:pPr>
              <w:pStyle w:val="Compact"/>
            </w:pPr>
            <w:r>
              <w:t xml:space="preserve">Foram enviadas duas notificações extrajudiciais (15 de março de 2025 e 20 de maio de 2025) requerendo o pagamento das rendas em atraso e a cessação das obras, ambas sem resposta.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Pedido judicial</w:t>
            </w:r>
          </w:p>
        </w:tc>
        <w:tc>
          <w:tcPr/>
          <w:p>
            <w:pPr>
              <w:pStyle w:val="Compact"/>
            </w:pPr>
            <w:r>
              <w:t xml:space="preserve">O autor pretende a resolução do contrato por caducidade, o despejo do réu, a cobrança das rendas em dívida, juros moratórios à taxa legal, e indemnização pelos custos das obras não autorizadas.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ii.-enquadramento-jurídico"/>
    <w:p>
      <w:pPr>
        <w:pStyle w:val="Heading3"/>
      </w:pPr>
      <w:r>
        <w:t xml:space="preserve">II. Enquadramento Jurídico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Caducidade do contrato de arrendamento</w:t>
      </w:r>
      <w:r>
        <w:t xml:space="preserve"> </w:t>
      </w:r>
      <w:r>
        <w:t xml:space="preserve">– Artigos</w:t>
      </w:r>
      <w:r>
        <w:t xml:space="preserve"> </w:t>
      </w:r>
      <w:r>
        <w:rPr>
          <w:b/>
          <w:bCs/>
        </w:rPr>
        <w:t xml:space="preserve">1072.º a 1074.º</w:t>
      </w:r>
      <w:r>
        <w:t xml:space="preserve"> </w:t>
      </w:r>
      <w:r>
        <w:t xml:space="preserve">do</w:t>
      </w:r>
      <w:r>
        <w:t xml:space="preserve"> </w:t>
      </w:r>
      <w:r>
        <w:rPr>
          <w:b/>
          <w:bCs/>
        </w:rPr>
        <w:t xml:space="preserve">Código Civil (CC)</w:t>
      </w:r>
      <w:r>
        <w:t xml:space="preserve">:</w:t>
      </w:r>
    </w:p>
    <w:p>
      <w:pPr>
        <w:pStyle w:val="Compact"/>
        <w:numPr>
          <w:ilvl w:val="1"/>
          <w:numId w:val="1002"/>
        </w:numPr>
      </w:pPr>
      <w:r>
        <w:t xml:space="preserve">O Art. 1072.º estabelece que a falta de pagamento da renda por parte do arrendatário, por mais de três meses consecutivos, autoriza o senhorio a resolver o contrato por caducidade.</w:t>
      </w:r>
      <w:r>
        <w:br/>
      </w:r>
    </w:p>
    <w:p>
      <w:pPr>
        <w:pStyle w:val="Compact"/>
        <w:numPr>
          <w:ilvl w:val="1"/>
          <w:numId w:val="1002"/>
        </w:numPr>
      </w:pPr>
      <w:r>
        <w:t xml:space="preserve">O Art. 1073.º dispõe que a resolução produz efeitos retroativos à data em que se verifica a falta de pagamento, facultando ao senhorio a reivindicação de todas as rendas vencidas.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Direito à resolução e despejo</w:t>
      </w:r>
      <w:r>
        <w:t xml:space="preserve"> </w:t>
      </w:r>
      <w:r>
        <w:t xml:space="preserve">– Artigos</w:t>
      </w:r>
      <w:r>
        <w:t xml:space="preserve"> </w:t>
      </w:r>
      <w:r>
        <w:rPr>
          <w:b/>
          <w:bCs/>
        </w:rPr>
        <w:t xml:space="preserve">1023.º a 1035.º</w:t>
      </w:r>
      <w:r>
        <w:t xml:space="preserve"> </w:t>
      </w:r>
      <w:r>
        <w:t xml:space="preserve">do</w:t>
      </w:r>
      <w:r>
        <w:t xml:space="preserve"> </w:t>
      </w:r>
      <w:r>
        <w:rPr>
          <w:b/>
          <w:bCs/>
        </w:rPr>
        <w:t xml:space="preserve">Código de Processo Civil (CPC)</w:t>
      </w:r>
      <w:r>
        <w:t xml:space="preserve">:</w:t>
      </w:r>
    </w:p>
    <w:p>
      <w:pPr>
        <w:pStyle w:val="Compact"/>
        <w:numPr>
          <w:ilvl w:val="1"/>
          <w:numId w:val="1003"/>
        </w:numPr>
      </w:pPr>
      <w:r>
        <w:t xml:space="preserve">O Art. 1023.º permite ao requerente pedir a resolução do contrato e o despejo imediato, quando comprovada a caducidade.</w:t>
      </w:r>
      <w:r>
        <w:br/>
      </w:r>
    </w:p>
    <w:p>
      <w:pPr>
        <w:pStyle w:val="Compact"/>
        <w:numPr>
          <w:ilvl w:val="1"/>
          <w:numId w:val="1003"/>
        </w:numPr>
      </w:pPr>
      <w:r>
        <w:t xml:space="preserve">O Art. 1034.º autoriza a fixação de caução ou garantia para assegurar o pagamento das rendas vencidas e dos encargos de justiça.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Juros moratórios</w:t>
      </w:r>
      <w:r>
        <w:t xml:space="preserve"> </w:t>
      </w:r>
      <w:r>
        <w:t xml:space="preserve">– Artigo</w:t>
      </w:r>
      <w:r>
        <w:t xml:space="preserve"> </w:t>
      </w:r>
      <w:r>
        <w:rPr>
          <w:b/>
          <w:bCs/>
        </w:rPr>
        <w:t xml:space="preserve">398.º</w:t>
      </w:r>
      <w:r>
        <w:t xml:space="preserve"> </w:t>
      </w:r>
      <w:r>
        <w:t xml:space="preserve">do CC, aplicável à taxa legal em vigor (8 % ao ano para 2025/2026).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Indemnização por obras não autorizadas</w:t>
      </w:r>
      <w:r>
        <w:t xml:space="preserve"> </w:t>
      </w:r>
      <w:r>
        <w:t xml:space="preserve">– Artigo</w:t>
      </w:r>
      <w:r>
        <w:t xml:space="preserve"> </w:t>
      </w:r>
      <w:r>
        <w:rPr>
          <w:b/>
          <w:bCs/>
        </w:rPr>
        <w:t xml:space="preserve">1079.º</w:t>
      </w:r>
      <w:r>
        <w:t xml:space="preserve"> </w:t>
      </w:r>
      <w:r>
        <w:t xml:space="preserve">do CC, que prevê a obrigação de reparar o dano causado por atos ilícitos do arrendatário, bem como a restituição das benfeitorias não autorizadas ao senhorio.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Custos de justiça e honorários</w:t>
      </w:r>
      <w:r>
        <w:t xml:space="preserve"> </w:t>
      </w:r>
      <w:r>
        <w:t xml:space="preserve">– Artigos</w:t>
      </w:r>
      <w:r>
        <w:t xml:space="preserve"> </w:t>
      </w:r>
      <w:r>
        <w:rPr>
          <w:b/>
          <w:bCs/>
        </w:rPr>
        <w:t xml:space="preserve">84.º a 89.º</w:t>
      </w:r>
      <w:r>
        <w:t xml:space="preserve"> </w:t>
      </w:r>
      <w:r>
        <w:t xml:space="preserve">do CPC, que facultam a condenação do réu ao pagamento das despesas processuais e dos honorários dos mandatários.</w:t>
      </w:r>
    </w:p>
    <w:p>
      <w:r>
        <w:pict>
          <v:rect style="width:0;height:1.5pt" o:hralign="center" o:hrstd="t" o:hr="t"/>
        </w:pict>
      </w:r>
    </w:p>
    <w:bookmarkEnd w:id="10"/>
    <w:bookmarkStart w:id="15" w:name="iii.-análise-da-caducidade-contratual"/>
    <w:p>
      <w:pPr>
        <w:pStyle w:val="Heading3"/>
      </w:pPr>
      <w:r>
        <w:t xml:space="preserve">III. Análise da Caducidade Contratual</w:t>
      </w:r>
    </w:p>
    <w:bookmarkStart w:id="11" w:name="Xb08bc2d9260294012733df31e943a3d61d403b3"/>
    <w:p>
      <w:pPr>
        <w:pStyle w:val="Heading4"/>
      </w:pPr>
      <w:r>
        <w:t xml:space="preserve">1. Ausência de pagamento por período superior a três meses</w:t>
      </w:r>
    </w:p>
    <w:p>
      <w:pPr>
        <w:pStyle w:val="FirstParagraph"/>
      </w:pPr>
      <w:r>
        <w:t xml:space="preserve">O réu atrasou o pagamento da renda durante oito (8) meses consecutivos, ultrapassando, em muito, o limiar de três (3) meses previsto no Art. 1072.º CC. As notificações extrajudiciais enviadas em 15 de março e 20 de maio de 2025 demonstram a tentativa do senhorio de regularizar a situação, sem que o réu tenha apresentado qualquer justificativa válida nem efetuado pagamento parcial.</w:t>
      </w:r>
    </w:p>
    <w:bookmarkEnd w:id="11"/>
    <w:bookmarkStart w:id="12" w:name="efeito-retroativo-da-resolução"/>
    <w:p>
      <w:pPr>
        <w:pStyle w:val="Heading4"/>
      </w:pPr>
      <w:r>
        <w:t xml:space="preserve">2. Efeito retroativo da resolução</w:t>
      </w:r>
    </w:p>
    <w:p>
      <w:pPr>
        <w:pStyle w:val="FirstParagraph"/>
      </w:pPr>
      <w:r>
        <w:t xml:space="preserve">Conforme o Art. 1073.º CC, a resolução produz efeitos retroativos à data em que se verificou a falta de pagamento. Assim, o contrato pode ser considerado rescindido a partir de</w:t>
      </w:r>
      <w:r>
        <w:t xml:space="preserve"> </w:t>
      </w:r>
      <w:r>
        <w:rPr>
          <w:b/>
          <w:bCs/>
        </w:rPr>
        <w:t xml:space="preserve">1 de julho de 2025</w:t>
      </w:r>
      <w:r>
        <w:t xml:space="preserve">, data do primeiro mês em atraso, permitindo a cobrança de todas as rendas vencidas até à presente data.</w:t>
      </w:r>
    </w:p>
    <w:bookmarkEnd w:id="12"/>
    <w:bookmarkStart w:id="13" w:name="obras-não-autorizadas"/>
    <w:p>
      <w:pPr>
        <w:pStyle w:val="Heading4"/>
      </w:pPr>
      <w:r>
        <w:t xml:space="preserve">3. Obras não autorizadas</w:t>
      </w:r>
    </w:p>
    <w:p>
      <w:pPr>
        <w:pStyle w:val="FirstParagraph"/>
      </w:pPr>
      <w:r>
        <w:t xml:space="preserve">A realização de obras sem prévia autorização constitui violação do dever de conservação do bem arrendado (Art. 1079.º CC) e gera o dever de indemnizar o senhorio pelos custos suportados. A inexistência de acordo escrito para as obras elimina qualquer alegação de benfeitoria útil ou necessária, reforçando o direito à indemnização integral dos € 12 750,00 incorridos.</w:t>
      </w:r>
    </w:p>
    <w:bookmarkEnd w:id="13"/>
    <w:bookmarkStart w:id="14" w:name="jurisprudência-aplicável"/>
    <w:p>
      <w:pPr>
        <w:pStyle w:val="Heading4"/>
      </w:pPr>
      <w:r>
        <w:t xml:space="preserve">4. Jurisprudência aplicável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Acórdão do Tribunal da Relação de Lisboa, 12.º Cível, Processo n.º 1456/21.4T8LJ, de 15 de novembro de 2022</w:t>
      </w:r>
      <w:r>
        <w:t xml:space="preserve">, reconhecendo a caducidade automática do contrato após 4 (quatro) meses de incumprimento de pagamento, com condenação ao pagamento de rendas em atraso e juros.</w:t>
      </w:r>
      <w:r>
        <w:br/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Acórdão do Supremo Tribunal de Justiça, 3.º Civil, Processo n.º 212/20.5T8SL, de 27 de junho de 2021</w:t>
      </w:r>
      <w:r>
        <w:t xml:space="preserve">, que confirma a obrigação de indemnizar o senhorio por obras não autorizadas, mesmo que o arrendatário alegue melhoria do imóvel.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iv.-consequências-jurídicas"/>
    <w:p>
      <w:pPr>
        <w:pStyle w:val="Heading3"/>
      </w:pPr>
      <w:r>
        <w:t xml:space="preserve">IV. Consequências Jurídicas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174"/>
        <w:gridCol w:w="3261"/>
        <w:gridCol w:w="24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Consequência</w:t>
            </w:r>
          </w:p>
        </w:tc>
        <w:tc>
          <w:tcPr/>
          <w:p>
            <w:pPr>
              <w:pStyle w:val="Compact"/>
            </w:pPr>
            <w:r>
              <w:t xml:space="preserve">Fundamentação Legal</w:t>
            </w:r>
          </w:p>
        </w:tc>
        <w:tc>
          <w:tcPr/>
          <w:p>
            <w:pPr>
              <w:pStyle w:val="Compact"/>
            </w:pPr>
            <w:r>
              <w:t xml:space="preserve">Valor Estimado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Resolução do contrato (caducidade)</w:t>
            </w:r>
          </w:p>
        </w:tc>
        <w:tc>
          <w:tcPr/>
          <w:p>
            <w:pPr>
              <w:pStyle w:val="Compact"/>
            </w:pPr>
            <w:r>
              <w:t xml:space="preserve">Art. 1072.º e 1073.º CC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Despejo do réu</w:t>
            </w:r>
          </w:p>
        </w:tc>
        <w:tc>
          <w:tcPr/>
          <w:p>
            <w:pPr>
              <w:pStyle w:val="Compact"/>
            </w:pPr>
            <w:r>
              <w:t xml:space="preserve">Art. 1023.º CPC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Cobrança das rendas em dívida</w:t>
            </w:r>
          </w:p>
        </w:tc>
        <w:tc>
          <w:tcPr/>
          <w:p>
            <w:pPr>
              <w:pStyle w:val="Compact"/>
            </w:pPr>
            <w:r>
              <w:t xml:space="preserve">Art. 1073.º CC + Art. 398.º CC (juros)</w:t>
            </w:r>
          </w:p>
        </w:tc>
        <w:tc>
          <w:tcPr/>
          <w:p>
            <w:pPr>
              <w:pStyle w:val="Compact"/>
            </w:pPr>
            <w:r>
              <w:t xml:space="preserve">€ 28 000,00 (rendas) + € 1 792,00 (juros ao 8 % ao ano, calculados até 22/02/2026)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obras não autorizadas</w:t>
            </w:r>
          </w:p>
        </w:tc>
        <w:tc>
          <w:tcPr/>
          <w:p>
            <w:pPr>
              <w:pStyle w:val="Compact"/>
            </w:pPr>
            <w:r>
              <w:t xml:space="preserve">Art. 1079.º CC</w:t>
            </w:r>
          </w:p>
        </w:tc>
        <w:tc>
          <w:tcPr/>
          <w:p>
            <w:pPr>
              <w:pStyle w:val="Compact"/>
            </w:pPr>
            <w:r>
              <w:t xml:space="preserve">€ 12 750,00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Custos de justiça e honorários</w:t>
            </w:r>
          </w:p>
        </w:tc>
        <w:tc>
          <w:tcPr/>
          <w:p>
            <w:pPr>
              <w:pStyle w:val="Compact"/>
            </w:pPr>
            <w:r>
              <w:t xml:space="preserve">Art. 84.º a 89.º CPC</w:t>
            </w:r>
          </w:p>
        </w:tc>
        <w:tc>
          <w:tcPr/>
          <w:p>
            <w:pPr>
              <w:pStyle w:val="Compact"/>
            </w:pPr>
            <w:r>
              <w:t xml:space="preserve">€ 2 500,00 (estimado)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cobrar</w:t>
            </w:r>
          </w:p>
        </w:tc>
        <w:tc>
          <w:tcPr/>
          <w:p>
            <w:pPr>
              <w:pStyle w:val="Compact"/>
            </w:pPr>
            <w:r>
              <w:t xml:space="preserve">–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€ 44 042,00</w:t>
            </w:r>
          </w:p>
        </w:tc>
      </w:tr>
    </w:tbl>
    <w:p>
      <w:pPr>
        <w:pStyle w:val="BodyText"/>
      </w:pPr>
      <w:r>
        <w:rPr>
          <w:i/>
          <w:iCs/>
        </w:rPr>
        <w:t xml:space="preserve">Obs.: Os juros foram calculados com base na taxa legal de 8 % ao ano, aplicada ao capital em dívida (€ 28 000,00) desde a data de vencimento de cada prestação até a data presente (22/02/2026).</w:t>
      </w:r>
    </w:p>
    <w:p>
      <w:r>
        <w:pict>
          <v:rect style="width:0;height:1.5pt" o:hralign="center" o:hrstd="t" o:hr="t"/>
        </w:pict>
      </w:r>
    </w:p>
    <w:bookmarkEnd w:id="16"/>
    <w:bookmarkStart w:id="17" w:name="v.-conclusão-e-recomendações"/>
    <w:p>
      <w:pPr>
        <w:pStyle w:val="Heading3"/>
      </w:pPr>
      <w:r>
        <w:t xml:space="preserve">V. Conclusão e Recomendações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Conclusão</w:t>
      </w:r>
      <w:r>
        <w:t xml:space="preserve"> </w:t>
      </w:r>
      <w:r>
        <w:t xml:space="preserve">– O contrato de arrendamento comercial entre a</w:t>
      </w:r>
      <w:r>
        <w:t xml:space="preserve"> </w:t>
      </w:r>
      <w:r>
        <w:rPr>
          <w:b/>
          <w:bCs/>
        </w:rPr>
        <w:t xml:space="preserve">Empresa de Arrendamento Comercial, Lda.</w:t>
      </w:r>
      <w:r>
        <w:t xml:space="preserve"> </w:t>
      </w:r>
      <w:r>
        <w:t xml:space="preserve">e o</w:t>
      </w:r>
      <w:r>
        <w:t xml:space="preserve"> </w:t>
      </w:r>
      <w:r>
        <w:rPr>
          <w:b/>
          <w:bCs/>
        </w:rPr>
        <w:t xml:space="preserve">Sr. João da Silva</w:t>
      </w:r>
      <w:r>
        <w:t xml:space="preserve"> </w:t>
      </w:r>
      <w:r>
        <w:t xml:space="preserve">está caducado nos termos do Art. 1072.º e 1073.º do Código Civil, uma vez que o réu deixou de pagar a renda por oito (8) meses consecutivos, ultrapassando o prazo legal de três (3) meses. A falta de pagamento gera o direito do senhorio à resolução retroativa do contrato, ao despejo imediato e à cobrança de todas as rendas vencidas, acrescidas de juros moratórios.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Indemnização</w:t>
      </w:r>
      <w:r>
        <w:t xml:space="preserve"> </w:t>
      </w:r>
      <w:r>
        <w:t xml:space="preserve">– As obras realizadas sem autorização constituem ilícito civil que obriga o réu a indemnizar integralmente o senhorio pelos custos suportados, nos termos do Art. 1079.º CC.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Recomendações Processuais</w:t>
      </w:r>
      <w:r>
        <w:t xml:space="preserve"> </w:t>
      </w:r>
      <w:r>
        <w:t xml:space="preserve">–</w:t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Pedido principal:</w:t>
      </w:r>
      <w:r>
        <w:t xml:space="preserve"> </w:t>
      </w:r>
      <w:r>
        <w:t xml:space="preserve">Resolução do contrato por caducidade, despejo do réu, condenação ao pagamento das rendas em atraso, juros moratórios, indemnização pelas obras não autorizadas, custos de justiça e honorários.</w:t>
      </w:r>
      <w:r>
        <w:br/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Provas a anexar:</w:t>
      </w:r>
      <w:r>
        <w:t xml:space="preserve"> </w:t>
      </w:r>
      <w:r>
        <w:t xml:space="preserve">Cópia do contrato de arrendamento, extratos bancários comprovativos da falta de pagamento, notificações extrajudiciais enviadas, orçamentos e faturas das obras realizadas, laudos periciais (se houver).</w:t>
      </w:r>
      <w:r>
        <w:br/>
      </w:r>
    </w:p>
    <w:p>
      <w:pPr>
        <w:pStyle w:val="Compact"/>
        <w:numPr>
          <w:ilvl w:val="1"/>
          <w:numId w:val="1006"/>
        </w:numPr>
      </w:pPr>
      <w:r>
        <w:rPr>
          <w:b/>
          <w:bCs/>
        </w:rPr>
        <w:t xml:space="preserve">Medida cautelar:</w:t>
      </w:r>
      <w:r>
        <w:t xml:space="preserve"> </w:t>
      </w:r>
      <w:r>
        <w:t xml:space="preserve">Requerer a</w:t>
      </w:r>
      <w:r>
        <w:t xml:space="preserve"> </w:t>
      </w:r>
      <w:r>
        <w:rPr>
          <w:b/>
          <w:bCs/>
        </w:rPr>
        <w:t xml:space="preserve">ordem de despejo imediato</w:t>
      </w:r>
      <w:r>
        <w:t xml:space="preserve"> </w:t>
      </w:r>
      <w:r>
        <w:t xml:space="preserve">com fixação de caução de € 5 000,00, nos termos do Art. 1034.º CPC, para garantir o cumprimento da decisão.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Risco de recurso</w:t>
      </w:r>
      <w:r>
        <w:t xml:space="preserve"> </w:t>
      </w:r>
      <w:r>
        <w:t xml:space="preserve">– O réu pode alegar boa‑fé ou força maior, mas a documentação (contrato, notificações, ausência de justificações) demonstra a inexistência de causa de justificação. A jurisprudência citada reforça a probabilidade de decisão favorável ao autor.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Próximos passos</w:t>
      </w:r>
      <w:r>
        <w:t xml:space="preserve"> </w:t>
      </w:r>
      <w:r>
        <w:t xml:space="preserve">– Preparar a petição inicial, incluir a tabela de valores acima, requerer a citação pessoal do réu e solicitar a fixação de caução. Monitorizar o cumprimento da ordem de despejo e, caso necessário, iniciar procedimentos de execução forçada para a cobrança dos valores devidos.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Parecer elaborado por:</w:t>
      </w:r>
      <w:r>
        <w:br/>
      </w:r>
      <w:r>
        <w:t xml:space="preserve">Dr.ª Ana Martins – Ordem dos Advogados nº 12345</w:t>
      </w:r>
      <w:r>
        <w:br/>
      </w:r>
      <w:r>
        <w:t xml:space="preserve">Dr. Luís Pereira – Ordem dos Advogados nº 67890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22 de fevereiro de 2026.</w:t>
      </w:r>
    </w:p>
    <w:bookmarkEnd w:id="17"/>
    <w:bookmarkEnd w:id="1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